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05" w:rsidRPr="008346DE" w:rsidRDefault="00035A05" w:rsidP="00035A05">
      <w:pPr>
        <w:pStyle w:val="Encabezado"/>
        <w:jc w:val="center"/>
        <w:rPr>
          <w:b/>
          <w:sz w:val="24"/>
          <w:szCs w:val="24"/>
        </w:rPr>
      </w:pPr>
      <w:bookmarkStart w:id="0" w:name="_GoBack"/>
      <w:bookmarkEnd w:id="0"/>
      <w:r w:rsidRPr="008346DE">
        <w:rPr>
          <w:b/>
          <w:sz w:val="24"/>
          <w:szCs w:val="24"/>
        </w:rPr>
        <w:t>INFORMACION A TENER EN CUENTA EN LOS PROCESOS DE</w:t>
      </w:r>
    </w:p>
    <w:p w:rsidR="00035A05" w:rsidRPr="008346DE" w:rsidRDefault="00035A05" w:rsidP="00035A05">
      <w:pPr>
        <w:pStyle w:val="Encabezado"/>
        <w:jc w:val="center"/>
        <w:rPr>
          <w:b/>
          <w:sz w:val="24"/>
          <w:szCs w:val="24"/>
        </w:rPr>
      </w:pPr>
      <w:r w:rsidRPr="008346DE">
        <w:rPr>
          <w:b/>
          <w:sz w:val="24"/>
          <w:szCs w:val="24"/>
        </w:rPr>
        <w:t>EMPALME DE LAS ALCALDÍAS MUNICIPALES – 2015-2016</w:t>
      </w:r>
    </w:p>
    <w:p w:rsidR="00035A05" w:rsidRDefault="00035A05" w:rsidP="00035A05">
      <w:pPr>
        <w:pStyle w:val="Encabezado"/>
        <w:jc w:val="center"/>
      </w:pPr>
      <w:r w:rsidRPr="008346DE">
        <w:rPr>
          <w:b/>
          <w:sz w:val="24"/>
          <w:szCs w:val="24"/>
        </w:rPr>
        <w:t>Sector: Agua Potable y Saneamiento Básico</w:t>
      </w:r>
    </w:p>
    <w:p w:rsidR="008346DE" w:rsidRDefault="008346DE">
      <w:pPr>
        <w:rPr>
          <w:b/>
        </w:rPr>
      </w:pPr>
    </w:p>
    <w:p w:rsidR="00BB3CF7" w:rsidRPr="00D37C23" w:rsidRDefault="00DB49DF" w:rsidP="00035A05">
      <w:pPr>
        <w:pStyle w:val="Prrafodelista"/>
        <w:numPr>
          <w:ilvl w:val="0"/>
          <w:numId w:val="8"/>
        </w:numPr>
        <w:rPr>
          <w:b/>
        </w:rPr>
      </w:pPr>
      <w:r w:rsidRPr="00D37C23">
        <w:rPr>
          <w:b/>
        </w:rPr>
        <w:t>GESTIÓ</w:t>
      </w:r>
      <w:r w:rsidR="00BB3CF7" w:rsidRPr="00D37C23">
        <w:rPr>
          <w:b/>
        </w:rPr>
        <w:t>N DE RECURSOS FINANCIEROS</w:t>
      </w:r>
    </w:p>
    <w:tbl>
      <w:tblPr>
        <w:tblStyle w:val="Tablaconcuadrcula"/>
        <w:tblW w:w="0" w:type="auto"/>
        <w:tblLook w:val="04A0"/>
      </w:tblPr>
      <w:tblGrid>
        <w:gridCol w:w="2179"/>
        <w:gridCol w:w="553"/>
        <w:gridCol w:w="3330"/>
        <w:gridCol w:w="2992"/>
      </w:tblGrid>
      <w:tr w:rsidR="004C63B4" w:rsidRPr="00D37C23" w:rsidTr="00D53AAA">
        <w:tc>
          <w:tcPr>
            <w:tcW w:w="2179" w:type="dxa"/>
            <w:vMerge w:val="restart"/>
          </w:tcPr>
          <w:p w:rsidR="008346DE" w:rsidRPr="00D37C23" w:rsidRDefault="008346DE" w:rsidP="00D53AAA">
            <w:pPr>
              <w:jc w:val="both"/>
            </w:pPr>
            <w:r w:rsidRPr="00D37C23">
              <w:t>¿El Municipio está descertificado?</w:t>
            </w:r>
          </w:p>
        </w:tc>
        <w:tc>
          <w:tcPr>
            <w:tcW w:w="553" w:type="dxa"/>
          </w:tcPr>
          <w:p w:rsidR="008346DE" w:rsidRPr="00D37C23" w:rsidRDefault="008346DE" w:rsidP="00D53AAA">
            <w:pPr>
              <w:jc w:val="both"/>
            </w:pPr>
            <w:r w:rsidRPr="00D37C23">
              <w:t>SI</w:t>
            </w:r>
          </w:p>
        </w:tc>
        <w:tc>
          <w:tcPr>
            <w:tcW w:w="3330" w:type="dxa"/>
          </w:tcPr>
          <w:p w:rsidR="008346DE" w:rsidRPr="00D37C23" w:rsidRDefault="008346DE" w:rsidP="00D53AA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D37C23">
              <w:t>Resolución SSPD de Descertificación</w:t>
            </w:r>
          </w:p>
        </w:tc>
        <w:tc>
          <w:tcPr>
            <w:tcW w:w="2992" w:type="dxa"/>
          </w:tcPr>
          <w:p w:rsidR="008346DE" w:rsidRPr="00D37C23" w:rsidRDefault="00F6131F" w:rsidP="00D53AAA">
            <w:pPr>
              <w:jc w:val="both"/>
            </w:pPr>
            <w:r>
              <w:t xml:space="preserve">El Departamento </w:t>
            </w:r>
            <w:r w:rsidR="007F101E">
              <w:t>Archipiélago</w:t>
            </w:r>
            <w:r>
              <w:t xml:space="preserve"> de San Andres Providencia y Santa Catalina no es objeto de certificación, de conformidad con lo establecido en el </w:t>
            </w:r>
            <w:r w:rsidR="007F101E">
              <w:t xml:space="preserve"> Decreto 1484 de 2014 en el artículo 21 del mismo que para ello establece el proceso de monitoreo el cual de acuerdo al </w:t>
            </w:r>
            <w:r w:rsidR="007A77CB">
              <w:t>último</w:t>
            </w:r>
            <w:r w:rsidR="007F101E">
              <w:t xml:space="preserve"> informe no presenta riesgo.</w:t>
            </w:r>
            <w:r w:rsidR="00945B2A">
              <w:t xml:space="preserve"> </w:t>
            </w:r>
            <w:r w:rsidR="00945B2A" w:rsidRPr="007A77CB">
              <w:t>(Anexo 1)</w:t>
            </w:r>
          </w:p>
        </w:tc>
      </w:tr>
      <w:tr w:rsidR="004C63B4" w:rsidRPr="00D37C23" w:rsidTr="00D53AAA">
        <w:tc>
          <w:tcPr>
            <w:tcW w:w="2179" w:type="dxa"/>
            <w:vMerge/>
          </w:tcPr>
          <w:p w:rsidR="008346DE" w:rsidRPr="00D37C23" w:rsidRDefault="008346DE" w:rsidP="00D53AAA">
            <w:pPr>
              <w:jc w:val="both"/>
            </w:pPr>
          </w:p>
        </w:tc>
        <w:tc>
          <w:tcPr>
            <w:tcW w:w="553" w:type="dxa"/>
          </w:tcPr>
          <w:p w:rsidR="008346DE" w:rsidRPr="00D37C23" w:rsidRDefault="008346DE" w:rsidP="00D53AAA">
            <w:pPr>
              <w:jc w:val="both"/>
            </w:pPr>
            <w:r w:rsidRPr="00D37C23">
              <w:t>NO</w:t>
            </w:r>
          </w:p>
        </w:tc>
        <w:tc>
          <w:tcPr>
            <w:tcW w:w="3330" w:type="dxa"/>
          </w:tcPr>
          <w:p w:rsidR="008346DE" w:rsidRPr="00D37C23" w:rsidRDefault="008346DE" w:rsidP="00D53AA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D37C23">
              <w:t>Continuar con análisis de recursos SGP</w:t>
            </w:r>
          </w:p>
        </w:tc>
        <w:tc>
          <w:tcPr>
            <w:tcW w:w="2992" w:type="dxa"/>
          </w:tcPr>
          <w:p w:rsidR="008346DE" w:rsidRPr="00D37C23" w:rsidRDefault="007F101E" w:rsidP="00D53AAA">
            <w:pPr>
              <w:jc w:val="both"/>
            </w:pPr>
            <w:r>
              <w:t>No Aplica</w:t>
            </w:r>
          </w:p>
        </w:tc>
      </w:tr>
      <w:tr w:rsidR="004C63B4" w:rsidRPr="00D37C23" w:rsidTr="00D53AAA">
        <w:tc>
          <w:tcPr>
            <w:tcW w:w="2179" w:type="dxa"/>
            <w:vMerge w:val="restart"/>
          </w:tcPr>
          <w:p w:rsidR="008346DE" w:rsidRPr="00D37C23" w:rsidRDefault="008346DE" w:rsidP="00D53AAA">
            <w:pPr>
              <w:jc w:val="both"/>
            </w:pPr>
            <w:r w:rsidRPr="00D37C23">
              <w:t>¿El Municipio está vinculado al  Plan Departamental de Aguas  PAP – PDA de su departamento</w:t>
            </w:r>
          </w:p>
        </w:tc>
        <w:tc>
          <w:tcPr>
            <w:tcW w:w="553" w:type="dxa"/>
          </w:tcPr>
          <w:p w:rsidR="008346DE" w:rsidRPr="00D37C23" w:rsidRDefault="008346DE" w:rsidP="00D53AAA">
            <w:pPr>
              <w:jc w:val="both"/>
            </w:pPr>
            <w:r w:rsidRPr="00D37C23">
              <w:t xml:space="preserve">SI </w:t>
            </w:r>
          </w:p>
        </w:tc>
        <w:tc>
          <w:tcPr>
            <w:tcW w:w="3330" w:type="dxa"/>
          </w:tcPr>
          <w:p w:rsidR="008346DE" w:rsidRPr="00D37C23" w:rsidRDefault="008346DE" w:rsidP="00D53AA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D37C23">
              <w:t xml:space="preserve">Convenio de cooperación  y apoyo financiero PAP-PDA  suscrito con el gestor (Revisar compromiso de recursos y vigencia) </w:t>
            </w:r>
            <w:r w:rsidR="00AB4A30" w:rsidRPr="00D37C23">
              <w:t xml:space="preserve"> </w:t>
            </w:r>
          </w:p>
        </w:tc>
        <w:tc>
          <w:tcPr>
            <w:tcW w:w="2992" w:type="dxa"/>
          </w:tcPr>
          <w:p w:rsidR="008346DE" w:rsidRPr="00D37C23" w:rsidRDefault="007F101E" w:rsidP="00D53AAA">
            <w:pPr>
              <w:jc w:val="both"/>
            </w:pPr>
            <w:r>
              <w:t>El Departamento cuenta con convenio vigente de cooperación y apoyo financiero PAP – PDA, el cual cuenta con recursos en ejecución p</w:t>
            </w:r>
            <w:r w:rsidR="007A77CB">
              <w:t xml:space="preserve">or parte del Operador Proactiva </w:t>
            </w:r>
            <w:r>
              <w:t xml:space="preserve"> Aguas del Archipiélago, y el Departamento Archipiélago de San Andres.</w:t>
            </w:r>
            <w:r w:rsidR="00945B2A">
              <w:t xml:space="preserve"> </w:t>
            </w:r>
            <w:r w:rsidR="00945B2A" w:rsidRPr="007A77CB">
              <w:t>(anexo 2)</w:t>
            </w:r>
            <w:r w:rsidR="00945B2A">
              <w:t xml:space="preserve"> </w:t>
            </w:r>
          </w:p>
        </w:tc>
      </w:tr>
      <w:tr w:rsidR="004C63B4" w:rsidTr="00D53AAA">
        <w:tc>
          <w:tcPr>
            <w:tcW w:w="2179" w:type="dxa"/>
            <w:vMerge/>
          </w:tcPr>
          <w:p w:rsidR="008346DE" w:rsidRPr="00D37C23" w:rsidRDefault="008346DE" w:rsidP="00D53AAA">
            <w:pPr>
              <w:jc w:val="both"/>
            </w:pPr>
          </w:p>
        </w:tc>
        <w:tc>
          <w:tcPr>
            <w:tcW w:w="553" w:type="dxa"/>
          </w:tcPr>
          <w:p w:rsidR="008346DE" w:rsidRPr="00D37C23" w:rsidRDefault="008346DE" w:rsidP="00D53AAA">
            <w:pPr>
              <w:jc w:val="both"/>
            </w:pPr>
            <w:r w:rsidRPr="00D37C23">
              <w:t>NO</w:t>
            </w:r>
          </w:p>
        </w:tc>
        <w:tc>
          <w:tcPr>
            <w:tcW w:w="3330" w:type="dxa"/>
          </w:tcPr>
          <w:p w:rsidR="008346DE" w:rsidRPr="00D37C23" w:rsidRDefault="008346DE" w:rsidP="00D53AA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D37C23">
              <w:t>Establecer los recursos disponibles según la fuente (SGP-  Recursos propios)</w:t>
            </w:r>
          </w:p>
        </w:tc>
        <w:tc>
          <w:tcPr>
            <w:tcW w:w="2992" w:type="dxa"/>
          </w:tcPr>
          <w:p w:rsidR="008346DE" w:rsidRDefault="007A77CB" w:rsidP="00D53AAA">
            <w:pPr>
              <w:jc w:val="both"/>
            </w:pPr>
            <w:r>
              <w:t>Los recursos disponibles son</w:t>
            </w:r>
            <w:proofErr w:type="gramStart"/>
            <w:r>
              <w:t>:  SGP</w:t>
            </w:r>
            <w:proofErr w:type="gramEnd"/>
            <w:r>
              <w:t xml:space="preserve"> DEPARTAMENTO, $ 3.134.302.812 , SGP SAN ANDRES,  $ 4.765.460.119,  SGP PROVIDENCIA, $126.786.408, AUDIENCIAS PUBLICAS, $11.304.326.470, OTROS $ 1.839.823.238  para un total de $ 21.170.699.046. (Anexo 3) </w:t>
            </w:r>
          </w:p>
        </w:tc>
      </w:tr>
      <w:tr w:rsidR="004C63B4" w:rsidTr="00D53AAA">
        <w:tc>
          <w:tcPr>
            <w:tcW w:w="2179" w:type="dxa"/>
          </w:tcPr>
          <w:p w:rsidR="007F3D3A" w:rsidRDefault="007F3D3A" w:rsidP="00D53AAA">
            <w:pPr>
              <w:jc w:val="both"/>
            </w:pPr>
            <w:r>
              <w:t xml:space="preserve">Proyectos de APSB </w:t>
            </w:r>
          </w:p>
        </w:tc>
        <w:tc>
          <w:tcPr>
            <w:tcW w:w="553" w:type="dxa"/>
          </w:tcPr>
          <w:p w:rsidR="00BB3CF7" w:rsidRDefault="00BB3CF7" w:rsidP="00D53AAA">
            <w:pPr>
              <w:jc w:val="both"/>
            </w:pPr>
          </w:p>
        </w:tc>
        <w:tc>
          <w:tcPr>
            <w:tcW w:w="3330" w:type="dxa"/>
          </w:tcPr>
          <w:p w:rsidR="007F3D3A" w:rsidRPr="00E04441" w:rsidRDefault="007F3D3A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t>Proyectos incluidos en el plan de Desarrollo</w:t>
            </w:r>
            <w:r w:rsidR="00ED589A" w:rsidRPr="00E04441">
              <w:t xml:space="preserve"> Municipal</w:t>
            </w:r>
            <w:r w:rsidR="00FC3608" w:rsidRPr="00E04441">
              <w:t xml:space="preserve"> </w:t>
            </w:r>
          </w:p>
          <w:p w:rsidR="007F3D3A" w:rsidRPr="00E04441" w:rsidRDefault="00ED589A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t>P</w:t>
            </w:r>
            <w:r w:rsidR="007F3D3A" w:rsidRPr="00E04441">
              <w:t>royectos en curso</w:t>
            </w:r>
            <w:r w:rsidRPr="00E04441">
              <w:t xml:space="preserve"> de </w:t>
            </w:r>
            <w:proofErr w:type="spellStart"/>
            <w:r w:rsidRPr="00E04441">
              <w:t>viabilización</w:t>
            </w:r>
            <w:proofErr w:type="spellEnd"/>
            <w:r w:rsidRPr="00E04441">
              <w:t xml:space="preserve"> en Plan Departamental de Aguas – PAP- PDA</w:t>
            </w:r>
            <w:r w:rsidR="00FC3608" w:rsidRPr="00E04441">
              <w:t xml:space="preserve"> </w:t>
            </w:r>
          </w:p>
          <w:p w:rsidR="008346DE" w:rsidRPr="00E04441" w:rsidRDefault="008346DE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t xml:space="preserve">Estudios y Diseños en APSB </w:t>
            </w:r>
            <w:r w:rsidRPr="00E04441">
              <w:lastRenderedPageBreak/>
              <w:t>(en caso de contar con ellos)</w:t>
            </w:r>
            <w:r w:rsidR="00FC3608" w:rsidRPr="00E04441">
              <w:t xml:space="preserve"> </w:t>
            </w:r>
          </w:p>
        </w:tc>
        <w:tc>
          <w:tcPr>
            <w:tcW w:w="2992" w:type="dxa"/>
          </w:tcPr>
          <w:p w:rsidR="00945B2A" w:rsidRPr="00E04441" w:rsidRDefault="00050BC5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lastRenderedPageBreak/>
              <w:t>Los proyectos incluidos en el plan de Desarrollo son</w:t>
            </w:r>
            <w:proofErr w:type="gramStart"/>
            <w:r w:rsidRPr="00E04441">
              <w:t>:  1</w:t>
            </w:r>
            <w:proofErr w:type="gramEnd"/>
            <w:r w:rsidR="00A55B0A" w:rsidRPr="00E04441">
              <w:t xml:space="preserve">. Realizar Seguimiento, control y optimización de la prestación de los servicios de Acueducto, Alcantarillado y Aseo del </w:t>
            </w:r>
            <w:r w:rsidR="00A55B0A" w:rsidRPr="00E04441">
              <w:lastRenderedPageBreak/>
              <w:t xml:space="preserve">Departamento. 2. Agua Potable. 3. Alcantarillado. 4 Gestion Integral de Residuos Sólidos. 5 Apoyo en la implementación del sistema de saneamiento básico de  providencia  6. </w:t>
            </w:r>
            <w:r w:rsidR="00B81066" w:rsidRPr="00E04441">
              <w:t>Políticas</w:t>
            </w:r>
            <w:r w:rsidR="00A55B0A" w:rsidRPr="00E04441">
              <w:t xml:space="preserve"> de Planes Sectoriales de Saneamiento.</w:t>
            </w:r>
            <w:r w:rsidR="00945B2A" w:rsidRPr="00E0444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</w:t>
            </w:r>
          </w:p>
          <w:p w:rsidR="00904CFD" w:rsidRPr="00E04441" w:rsidRDefault="00950131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t xml:space="preserve">Los siguientes proyectos se encuentran en ventanilla </w:t>
            </w:r>
            <w:r w:rsidR="002A3CA9" w:rsidRPr="00E04441">
              <w:t>única</w:t>
            </w:r>
            <w:r w:rsidRPr="00E04441">
              <w:t xml:space="preserve"> del ministerio</w:t>
            </w:r>
            <w:proofErr w:type="gramStart"/>
            <w:r w:rsidRPr="00E04441">
              <w:t>:  1</w:t>
            </w:r>
            <w:proofErr w:type="gramEnd"/>
            <w:r w:rsidRPr="00E04441">
              <w:t xml:space="preserve">. Expansión  de cobertura del Alcantarillado en los Distritos 1,2,3.  2. Optimización de la Planta de Ablandamiento </w:t>
            </w:r>
            <w:proofErr w:type="spellStart"/>
            <w:r w:rsidRPr="00E04441">
              <w:t>Duppy</w:t>
            </w:r>
            <w:proofErr w:type="spellEnd"/>
            <w:r w:rsidRPr="00E04441">
              <w:t xml:space="preserve"> </w:t>
            </w:r>
            <w:proofErr w:type="spellStart"/>
            <w:r w:rsidRPr="00E04441">
              <w:t>Gully</w:t>
            </w:r>
            <w:proofErr w:type="spellEnd"/>
            <w:r w:rsidRPr="00E04441">
              <w:t>.</w:t>
            </w:r>
          </w:p>
          <w:p w:rsidR="00950131" w:rsidRPr="00E04441" w:rsidRDefault="00950131" w:rsidP="00D53AAA">
            <w:pPr>
              <w:pStyle w:val="Prrafodelista"/>
              <w:numPr>
                <w:ilvl w:val="0"/>
                <w:numId w:val="5"/>
              </w:numPr>
              <w:jc w:val="both"/>
            </w:pPr>
            <w:r w:rsidRPr="00E04441">
              <w:t xml:space="preserve"> (Anexo 3)</w:t>
            </w:r>
          </w:p>
        </w:tc>
      </w:tr>
      <w:tr w:rsidR="004C63B4" w:rsidTr="00D53AAA">
        <w:tc>
          <w:tcPr>
            <w:tcW w:w="2179" w:type="dxa"/>
          </w:tcPr>
          <w:p w:rsidR="007F3D3A" w:rsidRDefault="007F3D3A" w:rsidP="00D53AAA">
            <w:pPr>
              <w:jc w:val="both"/>
            </w:pPr>
            <w:r>
              <w:lastRenderedPageBreak/>
              <w:t xml:space="preserve">Recursos para </w:t>
            </w:r>
          </w:p>
          <w:p w:rsidR="007F3D3A" w:rsidRDefault="007F3D3A" w:rsidP="00D53AAA">
            <w:pPr>
              <w:jc w:val="both"/>
            </w:pPr>
            <w:r>
              <w:t>Agua Potable y Saneamiento Básico</w:t>
            </w:r>
          </w:p>
        </w:tc>
        <w:tc>
          <w:tcPr>
            <w:tcW w:w="553" w:type="dxa"/>
          </w:tcPr>
          <w:p w:rsidR="007F3D3A" w:rsidRDefault="007F3D3A" w:rsidP="00D53AAA">
            <w:pPr>
              <w:jc w:val="both"/>
            </w:pPr>
          </w:p>
        </w:tc>
        <w:tc>
          <w:tcPr>
            <w:tcW w:w="3330" w:type="dxa"/>
          </w:tcPr>
          <w:p w:rsidR="007F3D3A" w:rsidRPr="00E04441" w:rsidRDefault="007F3D3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 xml:space="preserve">Recursos Disponibles en el Municipio </w:t>
            </w:r>
          </w:p>
          <w:p w:rsidR="007F3D3A" w:rsidRPr="00E04441" w:rsidRDefault="007F3D3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Compromisos Asumidos por el Municipio o Distrito</w:t>
            </w:r>
            <w:r w:rsidR="00FC3608" w:rsidRPr="00E04441">
              <w:t xml:space="preserve"> </w:t>
            </w:r>
          </w:p>
          <w:p w:rsidR="007F3D3A" w:rsidRPr="00E04441" w:rsidRDefault="007F3D3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Cuentas por pagar</w:t>
            </w:r>
          </w:p>
          <w:p w:rsidR="007F3D3A" w:rsidRPr="00E04441" w:rsidRDefault="007F3D3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Reservas Presupuestales</w:t>
            </w:r>
          </w:p>
          <w:p w:rsidR="00FC3608" w:rsidRPr="00E04441" w:rsidRDefault="007F3D3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Saldo en Bancos</w:t>
            </w:r>
            <w:r w:rsidR="00FC3608" w:rsidRPr="00E04441">
              <w:t xml:space="preserve"> </w:t>
            </w:r>
          </w:p>
          <w:p w:rsidR="00ED589A" w:rsidRPr="00E04441" w:rsidRDefault="00ED589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Embargos</w:t>
            </w:r>
          </w:p>
          <w:p w:rsidR="00ED589A" w:rsidRPr="00E04441" w:rsidRDefault="00ED589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Estado del servicio a la deuda con fuente de pago SGP - APSB</w:t>
            </w:r>
          </w:p>
          <w:p w:rsidR="00ED589A" w:rsidRPr="00E04441" w:rsidRDefault="00ED589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 xml:space="preserve">Pasivos exigibles. </w:t>
            </w:r>
          </w:p>
        </w:tc>
        <w:tc>
          <w:tcPr>
            <w:tcW w:w="2992" w:type="dxa"/>
          </w:tcPr>
          <w:p w:rsidR="007F3D3A" w:rsidRPr="00E04441" w:rsidRDefault="00E04441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A la fecha los recursos disponibles son de 2.481.117.591</w:t>
            </w:r>
          </w:p>
          <w:p w:rsidR="00FF28E8" w:rsidRPr="00E04441" w:rsidRDefault="004C63B4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 xml:space="preserve">Se anexa la relación de compromisos para el sector de agua potable y saneamiento básico con recursos propios </w:t>
            </w:r>
            <w:r w:rsidR="00945B2A" w:rsidRPr="00E04441">
              <w:t xml:space="preserve">(anexo </w:t>
            </w:r>
            <w:r w:rsidR="00950131" w:rsidRPr="00E04441">
              <w:t>4</w:t>
            </w:r>
            <w:r w:rsidR="00945B2A" w:rsidRPr="00E04441">
              <w:t>)</w:t>
            </w:r>
          </w:p>
          <w:p w:rsidR="00FF28E8" w:rsidRPr="00E04441" w:rsidRDefault="00B81066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A la fecha no existen cuentas por pagar</w:t>
            </w:r>
          </w:p>
          <w:p w:rsidR="00FF28E8" w:rsidRPr="00E04441" w:rsidRDefault="00B81066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 xml:space="preserve">A la fecha no existen constituidas reservas presupuestales </w:t>
            </w:r>
          </w:p>
          <w:p w:rsidR="00945B2A" w:rsidRPr="00E04441" w:rsidRDefault="00FF28E8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Los Saldos en Ba</w:t>
            </w:r>
            <w:r w:rsidR="00D53AAA">
              <w:t>n</w:t>
            </w:r>
            <w:r w:rsidRPr="00E04441">
              <w:t>cos Son a corte de diciembre 30 de octubre  son :</w:t>
            </w:r>
            <w:r w:rsidR="00105937" w:rsidRPr="00E04441">
              <w:t xml:space="preserve"> $1.839.823.238 (Anexo 5)</w:t>
            </w:r>
          </w:p>
          <w:p w:rsidR="00945B2A" w:rsidRPr="00E04441" w:rsidRDefault="00945B2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 xml:space="preserve">Las cuentas del componente de Agua Potable y Saneamiento </w:t>
            </w:r>
            <w:r w:rsidR="00D53AAA" w:rsidRPr="00E04441">
              <w:t>Básico</w:t>
            </w:r>
            <w:r w:rsidRPr="00E04441">
              <w:t xml:space="preserve"> no cuentan con embargos vigentes a la fecha.</w:t>
            </w:r>
          </w:p>
          <w:p w:rsidR="00945B2A" w:rsidRPr="00E04441" w:rsidRDefault="00945B2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No se cuenta con servicios de deudas exigibles a APSB</w:t>
            </w:r>
          </w:p>
          <w:p w:rsidR="00945B2A" w:rsidRPr="00E04441" w:rsidRDefault="00945B2A" w:rsidP="00D53AAA">
            <w:pPr>
              <w:pStyle w:val="Prrafodelista"/>
              <w:numPr>
                <w:ilvl w:val="0"/>
                <w:numId w:val="4"/>
              </w:numPr>
              <w:jc w:val="both"/>
            </w:pPr>
            <w:r w:rsidRPr="00E04441">
              <w:t>No hay pagos exigibles.</w:t>
            </w:r>
          </w:p>
        </w:tc>
      </w:tr>
      <w:tr w:rsidR="004C63B4" w:rsidTr="00D53AAA">
        <w:tc>
          <w:tcPr>
            <w:tcW w:w="2179" w:type="dxa"/>
          </w:tcPr>
          <w:p w:rsidR="007F3D3A" w:rsidRDefault="007F3D3A" w:rsidP="00D53AAA">
            <w:pPr>
              <w:jc w:val="both"/>
            </w:pPr>
            <w:r>
              <w:lastRenderedPageBreak/>
              <w:t>SUBSIDIOS</w:t>
            </w:r>
          </w:p>
        </w:tc>
        <w:tc>
          <w:tcPr>
            <w:tcW w:w="553" w:type="dxa"/>
          </w:tcPr>
          <w:p w:rsidR="007F3D3A" w:rsidRDefault="007F3D3A" w:rsidP="00D53AAA">
            <w:pPr>
              <w:jc w:val="both"/>
            </w:pPr>
          </w:p>
        </w:tc>
        <w:tc>
          <w:tcPr>
            <w:tcW w:w="3330" w:type="dxa"/>
          </w:tcPr>
          <w:p w:rsidR="007F3D3A" w:rsidRPr="00B81066" w:rsidRDefault="007F3D3A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 w:rsidRPr="00B81066">
              <w:t>Documentos de agotamiento de lo dispuesto por el art. 6 de la Ley 142 de 1994</w:t>
            </w:r>
            <w:r w:rsidR="00AB4A30" w:rsidRPr="00B81066">
              <w:t xml:space="preserve"> ( albron)</w:t>
            </w:r>
          </w:p>
          <w:p w:rsidR="007F3D3A" w:rsidRDefault="007F3D3A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Acuerdo del Concejo Municipal para la creación del FSRI</w:t>
            </w:r>
          </w:p>
          <w:p w:rsidR="00DB49DF" w:rsidRDefault="00DB49DF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Acuerdo Municipal de porcentajes de subsidios y contribuciones para aplicar en la vigencia</w:t>
            </w:r>
          </w:p>
        </w:tc>
        <w:tc>
          <w:tcPr>
            <w:tcW w:w="2992" w:type="dxa"/>
          </w:tcPr>
          <w:p w:rsidR="007F3D3A" w:rsidRPr="00B81066" w:rsidRDefault="00B81066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 w:rsidRPr="00B81066">
              <w:t xml:space="preserve">El Departamento </w:t>
            </w:r>
            <w:r w:rsidR="00D53AAA" w:rsidRPr="00B81066">
              <w:t>Archipiélago</w:t>
            </w:r>
            <w:r w:rsidRPr="00B81066">
              <w:t xml:space="preserve"> de San Andres inicio el procedimiento de agotamiento del articulo 6to ley 142 mediante </w:t>
            </w:r>
            <w:r w:rsidR="00D53AAA" w:rsidRPr="00B81066">
              <w:t>resolución</w:t>
            </w:r>
            <w:r w:rsidRPr="00B81066">
              <w:t xml:space="preserve"> 2984 de mayo de 2012</w:t>
            </w:r>
            <w:r w:rsidR="00FF28E8" w:rsidRPr="00B81066">
              <w:t>.</w:t>
            </w:r>
            <w:r w:rsidR="00105937" w:rsidRPr="00B81066">
              <w:t>(Anexo 6)</w:t>
            </w:r>
          </w:p>
          <w:p w:rsidR="00945B2A" w:rsidRDefault="00105937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>El departamento cuenta con la Ordenanza N 017 de 1996  (Anexo 7)</w:t>
            </w:r>
          </w:p>
          <w:p w:rsidR="00105937" w:rsidRDefault="00105937" w:rsidP="00D53AAA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t xml:space="preserve">El Departamento cuenta con las ordenanzas N. 023 de 2012 y 003 de 2011 ( Anexo 8) </w:t>
            </w:r>
          </w:p>
        </w:tc>
      </w:tr>
      <w:tr w:rsidR="004C63B4" w:rsidTr="00D53AAA">
        <w:tc>
          <w:tcPr>
            <w:tcW w:w="2179" w:type="dxa"/>
          </w:tcPr>
          <w:p w:rsidR="007F3D3A" w:rsidRDefault="00995576" w:rsidP="00D53AAA">
            <w:pPr>
              <w:jc w:val="both"/>
            </w:pPr>
            <w:r>
              <w:t>Seguimiento a los recursos</w:t>
            </w:r>
          </w:p>
        </w:tc>
        <w:tc>
          <w:tcPr>
            <w:tcW w:w="553" w:type="dxa"/>
          </w:tcPr>
          <w:p w:rsidR="007F3D3A" w:rsidRDefault="007F3D3A" w:rsidP="00D53AAA">
            <w:pPr>
              <w:jc w:val="both"/>
            </w:pPr>
          </w:p>
        </w:tc>
        <w:tc>
          <w:tcPr>
            <w:tcW w:w="3330" w:type="dxa"/>
          </w:tcPr>
          <w:p w:rsidR="007F3D3A" w:rsidRDefault="00995576" w:rsidP="00D53AAA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Estado de Reporte de Información al FUT – Formulario </w:t>
            </w:r>
            <w:r w:rsidR="00D53AAA">
              <w:t>Único</w:t>
            </w:r>
            <w:r>
              <w:t xml:space="preserve"> Territorial</w:t>
            </w:r>
            <w:r w:rsidR="00AB4A30">
              <w:t xml:space="preserve">  </w:t>
            </w:r>
          </w:p>
        </w:tc>
        <w:tc>
          <w:tcPr>
            <w:tcW w:w="2992" w:type="dxa"/>
          </w:tcPr>
          <w:p w:rsidR="007F3D3A" w:rsidRDefault="00262AB3" w:rsidP="00D53AAA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El FUT  se encuentra cargado con los registros correspondientes a la fecha.</w:t>
            </w:r>
          </w:p>
        </w:tc>
      </w:tr>
    </w:tbl>
    <w:p w:rsidR="00DB49DF" w:rsidRDefault="00DB49DF">
      <w:pPr>
        <w:rPr>
          <w:b/>
        </w:rPr>
      </w:pPr>
    </w:p>
    <w:p w:rsidR="00BB3CF7" w:rsidRPr="00035A05" w:rsidRDefault="00995576" w:rsidP="00035A05">
      <w:pPr>
        <w:pStyle w:val="Prrafodelista"/>
        <w:numPr>
          <w:ilvl w:val="0"/>
          <w:numId w:val="8"/>
        </w:numPr>
        <w:rPr>
          <w:b/>
        </w:rPr>
      </w:pPr>
      <w:r w:rsidRPr="00035A05">
        <w:rPr>
          <w:b/>
        </w:rPr>
        <w:t>ESTADO DE LOS SERVICIOS PÚBLICOS</w:t>
      </w:r>
    </w:p>
    <w:tbl>
      <w:tblPr>
        <w:tblStyle w:val="Tablaconcuadrcula"/>
        <w:tblW w:w="0" w:type="auto"/>
        <w:tblLook w:val="04A0"/>
      </w:tblPr>
      <w:tblGrid>
        <w:gridCol w:w="2194"/>
        <w:gridCol w:w="533"/>
        <w:gridCol w:w="3335"/>
        <w:gridCol w:w="2992"/>
      </w:tblGrid>
      <w:tr w:rsidR="000F5E57" w:rsidTr="00D53AAA">
        <w:tc>
          <w:tcPr>
            <w:tcW w:w="2194" w:type="dxa"/>
          </w:tcPr>
          <w:p w:rsidR="00BB3CF7" w:rsidRDefault="00995576" w:rsidP="00D53AAA">
            <w:pPr>
              <w:jc w:val="both"/>
            </w:pPr>
            <w:r>
              <w:t>Inventario de prestadores de servicios en el  municipio</w:t>
            </w:r>
          </w:p>
        </w:tc>
        <w:tc>
          <w:tcPr>
            <w:tcW w:w="533" w:type="dxa"/>
          </w:tcPr>
          <w:p w:rsidR="00BB3CF7" w:rsidRDefault="00BB3CF7" w:rsidP="00D53AAA">
            <w:pPr>
              <w:jc w:val="both"/>
            </w:pPr>
          </w:p>
        </w:tc>
        <w:tc>
          <w:tcPr>
            <w:tcW w:w="3335" w:type="dxa"/>
          </w:tcPr>
          <w:p w:rsidR="00995576" w:rsidRDefault="00995576" w:rsidP="00D53AA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Identificar prestador de servicios en</w:t>
            </w:r>
            <w:r w:rsidR="008346DE">
              <w:t xml:space="preserve"> </w:t>
            </w:r>
            <w:r>
              <w:t>Cabecera Municipal: Empresa Prestadora, Municipio Prestador Directo u Organización Autorizada</w:t>
            </w:r>
          </w:p>
          <w:p w:rsidR="008346DE" w:rsidRDefault="008346DE" w:rsidP="00D53AA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Identificar otros prestadores en zona rural</w:t>
            </w:r>
            <w:r w:rsidR="00FC3608">
              <w:t xml:space="preserve"> </w:t>
            </w:r>
          </w:p>
        </w:tc>
        <w:tc>
          <w:tcPr>
            <w:tcW w:w="2992" w:type="dxa"/>
          </w:tcPr>
          <w:p w:rsidR="00007A57" w:rsidRDefault="00007A57" w:rsidP="00D53AA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Prestador de Servicio,  Acueducto  Proactiva Agua el Archipiélago S.A. ESP ( Aguas de San Andres) </w:t>
            </w:r>
          </w:p>
          <w:p w:rsidR="000F5E57" w:rsidRDefault="00007A57" w:rsidP="00D53AAA">
            <w:pPr>
              <w:pStyle w:val="Prrafodelista"/>
              <w:ind w:left="360"/>
              <w:jc w:val="both"/>
            </w:pPr>
            <w:r>
              <w:t xml:space="preserve">Prestador de servicio alcantarillado sanitario Proactiva Aguas del Archipiélago S.A. ESP. (Aguas de San Andres), Prestador de Servicio de Aseo Transporte Barrido y Recolección, </w:t>
            </w:r>
            <w:proofErr w:type="spellStart"/>
            <w:r>
              <w:t>Trash</w:t>
            </w:r>
            <w:proofErr w:type="spellEnd"/>
            <w:r>
              <w:t xml:space="preserve"> </w:t>
            </w:r>
            <w:proofErr w:type="spellStart"/>
            <w:r>
              <w:t>Buster</w:t>
            </w:r>
            <w:proofErr w:type="spellEnd"/>
            <w:r>
              <w:t xml:space="preserve"> S.A. ESP, Prestador de Servicio de Aseo Disposición Final, Gobernación del Departamento Archipiélago de San Andres, Providencia y Santa Catalina, Secretaria de Servicios Publicos y Medio Ambiente.  (Anexo 9)</w:t>
            </w:r>
          </w:p>
          <w:p w:rsidR="000F5E57" w:rsidRDefault="000F5E57" w:rsidP="00D53AA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En la zona rural los </w:t>
            </w:r>
            <w:r>
              <w:lastRenderedPageBreak/>
              <w:t>prestadores de acueducto y aseo son los mismos, el componente de alcantarillado no tiene cobertura en este sector (Anexo 9)</w:t>
            </w:r>
          </w:p>
          <w:p w:rsidR="008346DE" w:rsidRDefault="008346DE" w:rsidP="00D53AAA">
            <w:pPr>
              <w:pStyle w:val="Prrafodelista"/>
              <w:ind w:left="360"/>
              <w:jc w:val="both"/>
            </w:pPr>
          </w:p>
        </w:tc>
      </w:tr>
      <w:tr w:rsidR="000F5E57" w:rsidTr="00D53AAA">
        <w:tc>
          <w:tcPr>
            <w:tcW w:w="2194" w:type="dxa"/>
          </w:tcPr>
          <w:p w:rsidR="00995576" w:rsidRDefault="000F5E57" w:rsidP="00D53AAA">
            <w:pPr>
              <w:jc w:val="both"/>
            </w:pPr>
            <w:r>
              <w:lastRenderedPageBreak/>
              <w:t>Indicadores de cobertura de servicio</w:t>
            </w:r>
          </w:p>
        </w:tc>
        <w:tc>
          <w:tcPr>
            <w:tcW w:w="533" w:type="dxa"/>
          </w:tcPr>
          <w:p w:rsidR="00995576" w:rsidRDefault="00995576" w:rsidP="00D53AAA">
            <w:pPr>
              <w:jc w:val="both"/>
            </w:pPr>
          </w:p>
        </w:tc>
        <w:tc>
          <w:tcPr>
            <w:tcW w:w="3335" w:type="dxa"/>
          </w:tcPr>
          <w:p w:rsidR="00995576" w:rsidRPr="00246488" w:rsidRDefault="00995576" w:rsidP="00D53AAA">
            <w:pPr>
              <w:jc w:val="both"/>
              <w:rPr>
                <w:i/>
              </w:rPr>
            </w:pPr>
            <w:r w:rsidRPr="00246488">
              <w:rPr>
                <w:i/>
              </w:rPr>
              <w:t>Verificar</w:t>
            </w:r>
            <w:r w:rsidR="008346DE" w:rsidRPr="00246488">
              <w:rPr>
                <w:i/>
              </w:rPr>
              <w:t xml:space="preserve"> indicador  para cada prestador </w:t>
            </w:r>
            <w:r w:rsidRPr="00246488">
              <w:rPr>
                <w:i/>
              </w:rPr>
              <w:t>según inventario de prestado</w:t>
            </w:r>
            <w:r w:rsidR="008346DE" w:rsidRPr="00246488">
              <w:rPr>
                <w:i/>
              </w:rPr>
              <w:t>res de servicios</w:t>
            </w:r>
          </w:p>
        </w:tc>
        <w:tc>
          <w:tcPr>
            <w:tcW w:w="2992" w:type="dxa"/>
          </w:tcPr>
          <w:p w:rsidR="002307FC" w:rsidRPr="00246488" w:rsidRDefault="002307FC" w:rsidP="00D53AAA">
            <w:pPr>
              <w:pStyle w:val="Prrafodelista"/>
              <w:numPr>
                <w:ilvl w:val="0"/>
                <w:numId w:val="2"/>
              </w:numPr>
              <w:jc w:val="both"/>
            </w:pPr>
            <w:r w:rsidRPr="00246488">
              <w:t>Cobertura de Aseo 10%,  Cobertura de Aseo Disposición Final 100%, Cobertura alcantarillado 30,05% Proactiva, Cobertura acueducto 50,69% (Anexo 12)</w:t>
            </w:r>
          </w:p>
        </w:tc>
      </w:tr>
      <w:tr w:rsidR="000F5E57" w:rsidTr="00D53AAA">
        <w:tc>
          <w:tcPr>
            <w:tcW w:w="2194" w:type="dxa"/>
          </w:tcPr>
          <w:p w:rsidR="00995576" w:rsidRDefault="00995576" w:rsidP="004E2049">
            <w:r>
              <w:t>Indicadores de Continuidad</w:t>
            </w:r>
          </w:p>
        </w:tc>
        <w:tc>
          <w:tcPr>
            <w:tcW w:w="533" w:type="dxa"/>
          </w:tcPr>
          <w:p w:rsidR="00995576" w:rsidRDefault="00995576" w:rsidP="004E2049"/>
        </w:tc>
        <w:tc>
          <w:tcPr>
            <w:tcW w:w="3335" w:type="dxa"/>
          </w:tcPr>
          <w:p w:rsidR="00995576" w:rsidRPr="00B5077D" w:rsidRDefault="008346DE" w:rsidP="00BD6B88">
            <w:pPr>
              <w:jc w:val="both"/>
              <w:rPr>
                <w:i/>
              </w:rPr>
            </w:pPr>
            <w:r w:rsidRPr="00B5077D">
              <w:rPr>
                <w:i/>
              </w:rPr>
              <w:t>Verificar indicador  para cada prestador según inventario de prestadores de servicios</w:t>
            </w:r>
          </w:p>
        </w:tc>
        <w:tc>
          <w:tcPr>
            <w:tcW w:w="2992" w:type="dxa"/>
          </w:tcPr>
          <w:p w:rsidR="00995576" w:rsidRPr="00B5077D" w:rsidRDefault="00B5077D" w:rsidP="00B5077D">
            <w:pPr>
              <w:pStyle w:val="Prrafodelista"/>
              <w:numPr>
                <w:ilvl w:val="0"/>
                <w:numId w:val="2"/>
              </w:numPr>
              <w:jc w:val="both"/>
            </w:pPr>
            <w:r w:rsidRPr="00B5077D">
              <w:t>La continuidad de la prestación de servicio es aplicada por cada una de las em</w:t>
            </w:r>
            <w:r w:rsidR="00E66DF8">
              <w:t>presas de acuerdo a su programa</w:t>
            </w:r>
            <w:r w:rsidRPr="00B5077D">
              <w:t xml:space="preserve"> de prestación y contratos,  en el componente de acu</w:t>
            </w:r>
            <w:r w:rsidR="00E66DF8">
              <w:t>e</w:t>
            </w:r>
            <w:r w:rsidRPr="00B5077D">
              <w:t>ducto la continuidad es contractual.</w:t>
            </w:r>
          </w:p>
        </w:tc>
      </w:tr>
      <w:tr w:rsidR="000F5E57" w:rsidTr="00D53AAA">
        <w:tc>
          <w:tcPr>
            <w:tcW w:w="2194" w:type="dxa"/>
          </w:tcPr>
          <w:p w:rsidR="00995576" w:rsidRDefault="00995576" w:rsidP="009F6D7F">
            <w:r>
              <w:t>Estado de cargue de información al SUI</w:t>
            </w:r>
          </w:p>
        </w:tc>
        <w:tc>
          <w:tcPr>
            <w:tcW w:w="533" w:type="dxa"/>
          </w:tcPr>
          <w:p w:rsidR="00995576" w:rsidRDefault="00995576" w:rsidP="009F6D7F"/>
        </w:tc>
        <w:tc>
          <w:tcPr>
            <w:tcW w:w="3335" w:type="dxa"/>
            <w:shd w:val="clear" w:color="auto" w:fill="auto"/>
          </w:tcPr>
          <w:p w:rsidR="00995576" w:rsidRPr="00246488" w:rsidRDefault="008346DE" w:rsidP="00BD6B88">
            <w:pPr>
              <w:jc w:val="both"/>
              <w:rPr>
                <w:i/>
              </w:rPr>
            </w:pPr>
            <w:r w:rsidRPr="00246488">
              <w:rPr>
                <w:i/>
              </w:rPr>
              <w:t>Verificar indicador  para cada prestador según inventario de prestadores de servicios</w:t>
            </w:r>
          </w:p>
        </w:tc>
        <w:tc>
          <w:tcPr>
            <w:tcW w:w="2992" w:type="dxa"/>
            <w:shd w:val="clear" w:color="auto" w:fill="auto"/>
          </w:tcPr>
          <w:p w:rsidR="00995576" w:rsidRPr="00246488" w:rsidRDefault="00E66DF8" w:rsidP="00246488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Se</w:t>
            </w:r>
            <w:r w:rsidR="00246488">
              <w:t xml:space="preserve"> presentan lo</w:t>
            </w:r>
            <w:r>
              <w:t>s</w:t>
            </w:r>
            <w:r w:rsidR="00246488">
              <w:t xml:space="preserve"> estados de cargue en el anexo 13 (Anexo 13) </w:t>
            </w:r>
          </w:p>
        </w:tc>
      </w:tr>
      <w:tr w:rsidR="000F5E57" w:rsidTr="00D53AAA">
        <w:tc>
          <w:tcPr>
            <w:tcW w:w="2194" w:type="dxa"/>
          </w:tcPr>
          <w:p w:rsidR="00995576" w:rsidRDefault="00995576" w:rsidP="008D5189">
            <w:r>
              <w:t>Indicadores de Calidad de agua</w:t>
            </w:r>
          </w:p>
        </w:tc>
        <w:tc>
          <w:tcPr>
            <w:tcW w:w="533" w:type="dxa"/>
          </w:tcPr>
          <w:p w:rsidR="00995576" w:rsidRDefault="00995576" w:rsidP="008D5189"/>
        </w:tc>
        <w:tc>
          <w:tcPr>
            <w:tcW w:w="3335" w:type="dxa"/>
          </w:tcPr>
          <w:p w:rsidR="00995576" w:rsidRDefault="00995576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Autoridad Sanitaria – Reporte de resultados IRCA (</w:t>
            </w:r>
            <w:r w:rsidR="00E66DF8">
              <w:t>Índice</w:t>
            </w:r>
            <w:r>
              <w:t xml:space="preserve"> de Riesgo de Calidad del Agua)</w:t>
            </w:r>
          </w:p>
        </w:tc>
        <w:tc>
          <w:tcPr>
            <w:tcW w:w="2992" w:type="dxa"/>
          </w:tcPr>
          <w:p w:rsidR="00995576" w:rsidRDefault="008523C2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El reporte de calidad de agua es SIN RIESGO ( Anexo 10) </w:t>
            </w:r>
            <w:r w:rsidR="00995576">
              <w:t xml:space="preserve"> </w:t>
            </w:r>
          </w:p>
        </w:tc>
      </w:tr>
      <w:tr w:rsidR="000F5E57" w:rsidTr="00D53AAA">
        <w:tc>
          <w:tcPr>
            <w:tcW w:w="2194" w:type="dxa"/>
          </w:tcPr>
          <w:p w:rsidR="00995576" w:rsidRDefault="00995576" w:rsidP="004E2049">
            <w:r>
              <w:t>Sanciones o Investigaciones de organismos de control y vigilancia</w:t>
            </w:r>
          </w:p>
        </w:tc>
        <w:tc>
          <w:tcPr>
            <w:tcW w:w="533" w:type="dxa"/>
          </w:tcPr>
          <w:p w:rsidR="00995576" w:rsidRDefault="00995576" w:rsidP="004E2049"/>
        </w:tc>
        <w:tc>
          <w:tcPr>
            <w:tcW w:w="3335" w:type="dxa"/>
          </w:tcPr>
          <w:p w:rsidR="00995576" w:rsidRPr="008346DE" w:rsidRDefault="008346DE" w:rsidP="00941EC0">
            <w:pPr>
              <w:jc w:val="both"/>
              <w:rPr>
                <w:i/>
              </w:rPr>
            </w:pPr>
            <w:r w:rsidRPr="008346DE">
              <w:rPr>
                <w:i/>
              </w:rPr>
              <w:t>Verificar en archivos de cada</w:t>
            </w:r>
            <w:r w:rsidR="00995576" w:rsidRPr="008346DE">
              <w:rPr>
                <w:i/>
              </w:rPr>
              <w:t xml:space="preserve"> prestad</w:t>
            </w:r>
            <w:r w:rsidRPr="008346DE">
              <w:rPr>
                <w:i/>
              </w:rPr>
              <w:t>or</w:t>
            </w:r>
            <w:r w:rsidR="00995576" w:rsidRPr="008346DE">
              <w:rPr>
                <w:i/>
              </w:rPr>
              <w:t xml:space="preserve"> de servicios en el municipio</w:t>
            </w:r>
            <w:r w:rsidR="00BD6B88">
              <w:rPr>
                <w:i/>
                <w:color w:val="FF0000"/>
              </w:rPr>
              <w:t>.</w:t>
            </w:r>
          </w:p>
        </w:tc>
        <w:tc>
          <w:tcPr>
            <w:tcW w:w="2992" w:type="dxa"/>
          </w:tcPr>
          <w:p w:rsidR="00995576" w:rsidRDefault="008523C2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Durante este periodo no se han instaurado sanciones o investigaciones de organismos de control.</w:t>
            </w:r>
          </w:p>
        </w:tc>
      </w:tr>
    </w:tbl>
    <w:p w:rsidR="00BB3CF7" w:rsidRDefault="00BB3CF7"/>
    <w:p w:rsidR="00BB3CF7" w:rsidRPr="00035A05" w:rsidRDefault="00BB3CF7" w:rsidP="00035A05">
      <w:pPr>
        <w:pStyle w:val="Prrafodelista"/>
        <w:numPr>
          <w:ilvl w:val="0"/>
          <w:numId w:val="8"/>
        </w:numPr>
        <w:rPr>
          <w:b/>
        </w:rPr>
      </w:pPr>
      <w:r w:rsidRPr="00035A05">
        <w:rPr>
          <w:b/>
        </w:rPr>
        <w:t>ACTIVIDADES DE PLANEACIÓN</w:t>
      </w:r>
    </w:p>
    <w:tbl>
      <w:tblPr>
        <w:tblStyle w:val="Tablaconcuadrcula"/>
        <w:tblW w:w="0" w:type="auto"/>
        <w:tblLook w:val="04A0"/>
      </w:tblPr>
      <w:tblGrid>
        <w:gridCol w:w="2218"/>
        <w:gridCol w:w="537"/>
        <w:gridCol w:w="3307"/>
        <w:gridCol w:w="2992"/>
      </w:tblGrid>
      <w:tr w:rsidR="00BB3CF7" w:rsidTr="00E66DF8">
        <w:trPr>
          <w:trHeight w:val="517"/>
        </w:trPr>
        <w:tc>
          <w:tcPr>
            <w:tcW w:w="2218" w:type="dxa"/>
          </w:tcPr>
          <w:p w:rsidR="00BB3CF7" w:rsidRDefault="00BB3CF7" w:rsidP="004E2049">
            <w:r>
              <w:t>AMBIENTE – RECURSO HÍDRICO</w:t>
            </w:r>
          </w:p>
        </w:tc>
        <w:tc>
          <w:tcPr>
            <w:tcW w:w="537" w:type="dxa"/>
          </w:tcPr>
          <w:p w:rsidR="00BB3CF7" w:rsidRDefault="00BB3CF7" w:rsidP="004E2049"/>
        </w:tc>
        <w:tc>
          <w:tcPr>
            <w:tcW w:w="3307" w:type="dxa"/>
          </w:tcPr>
          <w:p w:rsidR="00BB3CF7" w:rsidRDefault="00BB3CF7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Plan de Ordenamiento y Manejo de Cuencas </w:t>
            </w:r>
            <w:r w:rsidR="0089065C">
              <w:t>–</w:t>
            </w:r>
            <w:r>
              <w:t xml:space="preserve"> POMCA</w:t>
            </w:r>
          </w:p>
        </w:tc>
        <w:tc>
          <w:tcPr>
            <w:tcW w:w="2992" w:type="dxa"/>
          </w:tcPr>
          <w:p w:rsidR="00BB3CF7" w:rsidRDefault="00BD6B88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Información</w:t>
            </w:r>
            <w:r w:rsidR="008523C2">
              <w:t xml:space="preserve"> desarrollada por la CORPORACION AMBIENTAL</w:t>
            </w:r>
          </w:p>
        </w:tc>
      </w:tr>
      <w:tr w:rsidR="00BB3CF7" w:rsidTr="00E66DF8">
        <w:trPr>
          <w:trHeight w:val="532"/>
        </w:trPr>
        <w:tc>
          <w:tcPr>
            <w:tcW w:w="2218" w:type="dxa"/>
          </w:tcPr>
          <w:p w:rsidR="00BB3CF7" w:rsidRDefault="00BB3CF7" w:rsidP="004E2049">
            <w:r>
              <w:t>AMBIENTE – RECURSO HÍDRICO</w:t>
            </w:r>
          </w:p>
        </w:tc>
        <w:tc>
          <w:tcPr>
            <w:tcW w:w="537" w:type="dxa"/>
          </w:tcPr>
          <w:p w:rsidR="00BB3CF7" w:rsidRDefault="00BB3CF7" w:rsidP="004E2049"/>
        </w:tc>
        <w:tc>
          <w:tcPr>
            <w:tcW w:w="3307" w:type="dxa"/>
          </w:tcPr>
          <w:p w:rsidR="00BB3CF7" w:rsidRDefault="00BB3CF7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de Gestión Integral de Recurso Hídrico</w:t>
            </w:r>
            <w:r w:rsidR="00ED589A">
              <w:t xml:space="preserve"> PGIRH</w:t>
            </w:r>
          </w:p>
        </w:tc>
        <w:tc>
          <w:tcPr>
            <w:tcW w:w="2992" w:type="dxa"/>
          </w:tcPr>
          <w:p w:rsidR="00BB3CF7" w:rsidRDefault="008523C2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Información Desarrollada por la Corporación Ambiental</w:t>
            </w:r>
          </w:p>
        </w:tc>
      </w:tr>
      <w:tr w:rsidR="00BB3CF7" w:rsidTr="00E66DF8">
        <w:trPr>
          <w:trHeight w:val="1050"/>
        </w:trPr>
        <w:tc>
          <w:tcPr>
            <w:tcW w:w="2218" w:type="dxa"/>
          </w:tcPr>
          <w:p w:rsidR="00BB3CF7" w:rsidRDefault="00ED589A" w:rsidP="004E2049">
            <w:r>
              <w:lastRenderedPageBreak/>
              <w:t>ASEO</w:t>
            </w:r>
          </w:p>
        </w:tc>
        <w:tc>
          <w:tcPr>
            <w:tcW w:w="537" w:type="dxa"/>
          </w:tcPr>
          <w:p w:rsidR="00BB3CF7" w:rsidRDefault="00BB3CF7" w:rsidP="004E2049"/>
        </w:tc>
        <w:tc>
          <w:tcPr>
            <w:tcW w:w="3307" w:type="dxa"/>
          </w:tcPr>
          <w:p w:rsidR="00BB3CF7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de Gestión Integral de Residuos Sólidos – PGIRS</w:t>
            </w:r>
          </w:p>
          <w:p w:rsidR="00ED589A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Catastro de árboles para poda</w:t>
            </w:r>
          </w:p>
          <w:p w:rsidR="00ED589A" w:rsidRDefault="00ED589A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Catastro de áreas de césped para la poda</w:t>
            </w:r>
          </w:p>
        </w:tc>
        <w:tc>
          <w:tcPr>
            <w:tcW w:w="2992" w:type="dxa"/>
          </w:tcPr>
          <w:p w:rsidR="00BB3CF7" w:rsidRDefault="008523C2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El </w:t>
            </w:r>
            <w:r w:rsidR="00ED589A">
              <w:t>Plazo: a 20 de diciembre de 2015.</w:t>
            </w:r>
          </w:p>
        </w:tc>
      </w:tr>
      <w:tr w:rsidR="00BB3CF7" w:rsidTr="00E66DF8">
        <w:trPr>
          <w:trHeight w:val="517"/>
        </w:trPr>
        <w:tc>
          <w:tcPr>
            <w:tcW w:w="2218" w:type="dxa"/>
          </w:tcPr>
          <w:p w:rsidR="00BB3CF7" w:rsidRDefault="00995576" w:rsidP="004E2049">
            <w:r>
              <w:t>ACUEDUCTO Y ALCANTARILLADO</w:t>
            </w:r>
          </w:p>
        </w:tc>
        <w:tc>
          <w:tcPr>
            <w:tcW w:w="537" w:type="dxa"/>
          </w:tcPr>
          <w:p w:rsidR="00BB3CF7" w:rsidRDefault="00BB3CF7" w:rsidP="004E2049"/>
        </w:tc>
        <w:tc>
          <w:tcPr>
            <w:tcW w:w="3307" w:type="dxa"/>
          </w:tcPr>
          <w:p w:rsidR="00BB3CF7" w:rsidRDefault="00995576" w:rsidP="00941EC0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Plan Indicativo para Agua Potable y Saneamiento Básico</w:t>
            </w:r>
          </w:p>
        </w:tc>
        <w:tc>
          <w:tcPr>
            <w:tcW w:w="2992" w:type="dxa"/>
          </w:tcPr>
          <w:p w:rsidR="00BB3CF7" w:rsidRDefault="008523C2" w:rsidP="008523C2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 xml:space="preserve">En el marco del Plan San Andres a través de FINDETER  se </w:t>
            </w:r>
            <w:r w:rsidR="00BD6B88">
              <w:t>está</w:t>
            </w:r>
            <w:r>
              <w:t xml:space="preserve"> desarrollando el estudio que permitirá estableces los indicativos para los componentes de Agua Potable y Saneamiento </w:t>
            </w:r>
            <w:r w:rsidR="00BD6B88">
              <w:t>Básico</w:t>
            </w:r>
          </w:p>
        </w:tc>
      </w:tr>
      <w:tr w:rsidR="00BB3CF7" w:rsidTr="00E66DF8">
        <w:trPr>
          <w:trHeight w:val="2604"/>
        </w:trPr>
        <w:tc>
          <w:tcPr>
            <w:tcW w:w="2218" w:type="dxa"/>
          </w:tcPr>
          <w:p w:rsidR="00BB3CF7" w:rsidRDefault="008346DE" w:rsidP="004E2049">
            <w:r>
              <w:t>ESTRATIFICACION</w:t>
            </w:r>
          </w:p>
        </w:tc>
        <w:tc>
          <w:tcPr>
            <w:tcW w:w="537" w:type="dxa"/>
          </w:tcPr>
          <w:p w:rsidR="00BB3CF7" w:rsidRDefault="00BB3CF7" w:rsidP="004E2049"/>
        </w:tc>
        <w:tc>
          <w:tcPr>
            <w:tcW w:w="3307" w:type="dxa"/>
          </w:tcPr>
          <w:p w:rsidR="00BB3CF7" w:rsidRDefault="008346DE" w:rsidP="00941EC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Acto administrativo de adopción de la estratificación urbana, centros poblados y finca y vivienda rural dispersa, y sus actualizaciones</w:t>
            </w:r>
            <w:r w:rsidRPr="00FC3608">
              <w:rPr>
                <w:color w:val="FF0000"/>
              </w:rPr>
              <w:t xml:space="preserve">. </w:t>
            </w:r>
          </w:p>
          <w:p w:rsidR="008346DE" w:rsidRDefault="008346DE" w:rsidP="00941EC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Acto administrativo de creación del comité permanente de estratificación</w:t>
            </w:r>
            <w:r w:rsidRPr="00FC3608">
              <w:rPr>
                <w:color w:val="FF0000"/>
              </w:rPr>
              <w:t xml:space="preserve">. </w:t>
            </w:r>
          </w:p>
          <w:p w:rsidR="008346DE" w:rsidRDefault="008346DE" w:rsidP="00BD6B88">
            <w:pPr>
              <w:pStyle w:val="Prrafodelista"/>
              <w:numPr>
                <w:ilvl w:val="0"/>
                <w:numId w:val="1"/>
              </w:numPr>
              <w:jc w:val="both"/>
            </w:pPr>
            <w:r w:rsidRPr="001564BB">
              <w:t>Certificación de la secretaría Técnica del Comité permanente de estratificación de conformidad con la metodología nacional establecida.</w:t>
            </w:r>
            <w:r w:rsidRPr="001564BB">
              <w:rPr>
                <w:color w:val="FF0000"/>
              </w:rPr>
              <w:t xml:space="preserve"> </w:t>
            </w:r>
          </w:p>
        </w:tc>
        <w:tc>
          <w:tcPr>
            <w:tcW w:w="2992" w:type="dxa"/>
          </w:tcPr>
          <w:p w:rsidR="000A2A1E" w:rsidRDefault="000A2A1E" w:rsidP="000A2A1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Para determinar la adopción de la estratificación Se anexan los decretos 694 de 1995, 268 de 1996 y 270 de 2002. (Anexo 11)</w:t>
            </w:r>
          </w:p>
          <w:p w:rsidR="000A2A1E" w:rsidRDefault="000A2A1E" w:rsidP="000A2A1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El comité de estratificación está establecido en el artículo quinto del decreto 694 de 1995</w:t>
            </w:r>
          </w:p>
          <w:p w:rsidR="001564BB" w:rsidRDefault="001564BB" w:rsidP="000A2A1E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Se adjunta Certificado en el que la Secretaria de Planeacion establece que cumple con la </w:t>
            </w:r>
            <w:r w:rsidR="00402DBC">
              <w:t>metodología</w:t>
            </w:r>
            <w:r>
              <w:t xml:space="preserve"> (Anexo 14) </w:t>
            </w:r>
          </w:p>
        </w:tc>
      </w:tr>
    </w:tbl>
    <w:p w:rsidR="00BB3CF7" w:rsidRDefault="00BB3CF7" w:rsidP="00941EC0"/>
    <w:sectPr w:rsidR="00BB3CF7" w:rsidSect="006D28A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E28" w:rsidRDefault="009C3E28" w:rsidP="00BB3CF7">
      <w:pPr>
        <w:spacing w:after="0" w:line="240" w:lineRule="auto"/>
      </w:pPr>
      <w:r>
        <w:separator/>
      </w:r>
    </w:p>
  </w:endnote>
  <w:endnote w:type="continuationSeparator" w:id="0">
    <w:p w:rsidR="009C3E28" w:rsidRDefault="009C3E28" w:rsidP="00BB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E28" w:rsidRDefault="009C3E28" w:rsidP="00BB3CF7">
      <w:pPr>
        <w:spacing w:after="0" w:line="240" w:lineRule="auto"/>
      </w:pPr>
      <w:r>
        <w:separator/>
      </w:r>
    </w:p>
  </w:footnote>
  <w:footnote w:type="continuationSeparator" w:id="0">
    <w:p w:rsidR="009C3E28" w:rsidRDefault="009C3E28" w:rsidP="00BB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0D" w:rsidRDefault="00581055" w:rsidP="0043180D">
    <w:pPr>
      <w:pStyle w:val="Encabezado"/>
      <w:ind w:firstLine="1416"/>
    </w:pP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-85090</wp:posOffset>
          </wp:positionV>
          <wp:extent cx="685800" cy="488950"/>
          <wp:effectExtent l="0" t="0" r="0" b="6350"/>
          <wp:wrapNone/>
          <wp:docPr id="2119" name="Imagen 2119" descr="http://www.archivogeneral.gov.co/sites/all/themes/nevia/images/transparencia3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" name="Picture 5" descr="http://www.archivogeneral.gov.co/sites/all/themes/nevia/images/transparencia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9257" r="20976" b="-6374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43904" behindDoc="0" locked="0" layoutInCell="1" allowOverlap="1">
          <wp:simplePos x="0" y="0"/>
          <wp:positionH relativeFrom="column">
            <wp:posOffset>4530090</wp:posOffset>
          </wp:positionH>
          <wp:positionV relativeFrom="paragraph">
            <wp:posOffset>-193040</wp:posOffset>
          </wp:positionV>
          <wp:extent cx="752475" cy="596900"/>
          <wp:effectExtent l="0" t="0" r="9525" b="0"/>
          <wp:wrapNone/>
          <wp:docPr id="2118" name="Imagen 2118" descr="http://www.procuraduria.gov.co/portal/media/image/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" name="Picture 3" descr="http://www.procuraduria.gov.co/portal/media/image/99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3415665</wp:posOffset>
          </wp:positionH>
          <wp:positionV relativeFrom="paragraph">
            <wp:posOffset>-17145</wp:posOffset>
          </wp:positionV>
          <wp:extent cx="1123950" cy="342900"/>
          <wp:effectExtent l="0" t="0" r="0" b="0"/>
          <wp:wrapNone/>
          <wp:docPr id="2122" name="Imagen 2122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" name="Imagen 7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0322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43180D"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701040</wp:posOffset>
          </wp:positionH>
          <wp:positionV relativeFrom="paragraph">
            <wp:posOffset>-47456</wp:posOffset>
          </wp:positionV>
          <wp:extent cx="1253964" cy="447675"/>
          <wp:effectExtent l="0" t="0" r="3810" b="0"/>
          <wp:wrapNone/>
          <wp:docPr id="2121" name="Imagen 2121" descr="C:\Users\carotorres\Desktop\funcion public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" name="Imagen 6" descr="C:\Users\carotorres\Desktop\funcion pu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9411" r="52258" b="20168"/>
                  <a:stretch>
                    <a:fillRect/>
                  </a:stretch>
                </pic:blipFill>
                <pic:spPr bwMode="auto">
                  <a:xfrm>
                    <a:off x="0" y="0"/>
                    <a:ext cx="1253964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43180D" w:rsidRPr="00A14D79">
      <w:rPr>
        <w:rFonts w:eastAsia="Times New Roman"/>
        <w:noProof/>
        <w:color w:val="000000"/>
        <w:lang w:eastAsia="es-C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6985</wp:posOffset>
          </wp:positionV>
          <wp:extent cx="1285875" cy="375920"/>
          <wp:effectExtent l="0" t="0" r="9525" b="5080"/>
          <wp:wrapNone/>
          <wp:docPr id="2120" name="Imagen 2120" descr="C:\Users\carotorres\Desktop\dn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" name="Imagen 5" descr="C:\Users\carotorres\Desktop\dnp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035A05">
      <w:t xml:space="preserve">                             </w:t>
    </w:r>
    <w:r w:rsidR="0043180D">
      <w:t xml:space="preserve">      </w:t>
    </w:r>
    <w:r w:rsidR="0043180D">
      <w:rPr>
        <w:noProof/>
        <w:lang w:eastAsia="es-CO"/>
      </w:rPr>
      <w:drawing>
        <wp:inline distT="0" distB="0" distL="0" distR="0">
          <wp:extent cx="1356360" cy="318893"/>
          <wp:effectExtent l="0" t="0" r="0" b="5080"/>
          <wp:docPr id="4" name="Imagen 4" descr="http://www.fna.gov.co/wps/wcm/connect/5a8bcbc7-d681-47ea-88e8-293a0439ddeb/MINVIVIENDA1-02.jpg?MOD=AJPERES&amp;CACHEID=5a8bcbc7-d681-47ea-88e8-293a0439dd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na.gov.co/wps/wcm/connect/5a8bcbc7-d681-47ea-88e8-293a0439ddeb/MINVIVIENDA1-02.jpg?MOD=AJPERES&amp;CACHEID=5a8bcbc7-d681-47ea-88e8-293a0439dde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31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A05" w:rsidRDefault="00035A05">
    <w:pPr>
      <w:pStyle w:val="Encabezado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28A"/>
    <w:multiLevelType w:val="hybridMultilevel"/>
    <w:tmpl w:val="E15035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106D92"/>
    <w:multiLevelType w:val="hybridMultilevel"/>
    <w:tmpl w:val="EE98BC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942A3B"/>
    <w:multiLevelType w:val="hybridMultilevel"/>
    <w:tmpl w:val="ED5CA7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AA63071"/>
    <w:multiLevelType w:val="hybridMultilevel"/>
    <w:tmpl w:val="5CF215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D69E5"/>
    <w:multiLevelType w:val="hybridMultilevel"/>
    <w:tmpl w:val="C55E2E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70973"/>
    <w:multiLevelType w:val="hybridMultilevel"/>
    <w:tmpl w:val="8C4E00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D6582"/>
    <w:multiLevelType w:val="hybridMultilevel"/>
    <w:tmpl w:val="4E1613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B456CB"/>
    <w:multiLevelType w:val="hybridMultilevel"/>
    <w:tmpl w:val="ED6CF7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460DC6"/>
    <w:multiLevelType w:val="hybridMultilevel"/>
    <w:tmpl w:val="2A263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2DFE"/>
    <w:multiLevelType w:val="hybridMultilevel"/>
    <w:tmpl w:val="33D036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CF7"/>
    <w:rsid w:val="00007A57"/>
    <w:rsid w:val="00035A05"/>
    <w:rsid w:val="00050BC5"/>
    <w:rsid w:val="000A2A1E"/>
    <w:rsid w:val="000D3BBF"/>
    <w:rsid w:val="000F5E57"/>
    <w:rsid w:val="00105937"/>
    <w:rsid w:val="001564BB"/>
    <w:rsid w:val="001B2BC7"/>
    <w:rsid w:val="002307FC"/>
    <w:rsid w:val="00246488"/>
    <w:rsid w:val="00262AB3"/>
    <w:rsid w:val="002A3CA9"/>
    <w:rsid w:val="00324032"/>
    <w:rsid w:val="00402DBC"/>
    <w:rsid w:val="0043180D"/>
    <w:rsid w:val="004C63B4"/>
    <w:rsid w:val="00581055"/>
    <w:rsid w:val="00584908"/>
    <w:rsid w:val="006D28A1"/>
    <w:rsid w:val="00703780"/>
    <w:rsid w:val="007724C9"/>
    <w:rsid w:val="007A77CB"/>
    <w:rsid w:val="007F101E"/>
    <w:rsid w:val="007F2E26"/>
    <w:rsid w:val="007F3D3A"/>
    <w:rsid w:val="008346DE"/>
    <w:rsid w:val="008523C2"/>
    <w:rsid w:val="0089065C"/>
    <w:rsid w:val="00904CFD"/>
    <w:rsid w:val="00941EC0"/>
    <w:rsid w:val="00945B2A"/>
    <w:rsid w:val="00950131"/>
    <w:rsid w:val="00980D56"/>
    <w:rsid w:val="00995576"/>
    <w:rsid w:val="009C3E28"/>
    <w:rsid w:val="00A0737D"/>
    <w:rsid w:val="00A55B0A"/>
    <w:rsid w:val="00AB4A30"/>
    <w:rsid w:val="00B05AA1"/>
    <w:rsid w:val="00B219F1"/>
    <w:rsid w:val="00B27201"/>
    <w:rsid w:val="00B32F35"/>
    <w:rsid w:val="00B5077D"/>
    <w:rsid w:val="00B81066"/>
    <w:rsid w:val="00BB3CF7"/>
    <w:rsid w:val="00BB6774"/>
    <w:rsid w:val="00BD6B88"/>
    <w:rsid w:val="00D37C23"/>
    <w:rsid w:val="00D53AAA"/>
    <w:rsid w:val="00DA0988"/>
    <w:rsid w:val="00DB49DF"/>
    <w:rsid w:val="00E04441"/>
    <w:rsid w:val="00E61DB4"/>
    <w:rsid w:val="00E66DF8"/>
    <w:rsid w:val="00E84DC6"/>
    <w:rsid w:val="00ED589A"/>
    <w:rsid w:val="00F6131F"/>
    <w:rsid w:val="00FA0E1B"/>
    <w:rsid w:val="00FA4F08"/>
    <w:rsid w:val="00FC3608"/>
    <w:rsid w:val="00FF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CF7"/>
  </w:style>
  <w:style w:type="paragraph" w:styleId="Piedepgina">
    <w:name w:val="footer"/>
    <w:basedOn w:val="Normal"/>
    <w:link w:val="Piedepgina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F7"/>
  </w:style>
  <w:style w:type="paragraph" w:styleId="Prrafodelista">
    <w:name w:val="List Paragraph"/>
    <w:basedOn w:val="Normal"/>
    <w:uiPriority w:val="34"/>
    <w:qFormat/>
    <w:rsid w:val="008346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3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3CF7"/>
  </w:style>
  <w:style w:type="paragraph" w:styleId="Piedepgina">
    <w:name w:val="footer"/>
    <w:basedOn w:val="Normal"/>
    <w:link w:val="PiedepginaCar"/>
    <w:uiPriority w:val="99"/>
    <w:unhideWhenUsed/>
    <w:rsid w:val="00BB3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3CF7"/>
  </w:style>
  <w:style w:type="paragraph" w:styleId="Prrafodelista">
    <w:name w:val="List Paragraph"/>
    <w:basedOn w:val="Normal"/>
    <w:uiPriority w:val="34"/>
    <w:qFormat/>
    <w:rsid w:val="008346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4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4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3934-3C9C-46D3-AE46-AB34B417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1127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Yolima Bernal Pedraza</dc:creator>
  <cp:lastModifiedBy>vcorreal</cp:lastModifiedBy>
  <cp:revision>23</cp:revision>
  <cp:lastPrinted>2015-10-30T14:27:00Z</cp:lastPrinted>
  <dcterms:created xsi:type="dcterms:W3CDTF">2015-10-30T14:08:00Z</dcterms:created>
  <dcterms:modified xsi:type="dcterms:W3CDTF">2015-11-06T22:37:00Z</dcterms:modified>
</cp:coreProperties>
</file>